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225"/>
        <w:gridCol w:w="556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567" w:type="dxa"/>
          </w:tcPr>
          <w:p w14:paraId="4C5C3F62" w14:textId="607CA7EF" w:rsidR="00385BAF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Corp. Office: </w:t>
            </w:r>
            <w:r w:rsidR="00D70FF1">
              <w:rPr>
                <w:rFonts w:cstheme="minorHAnsi"/>
                <w:sz w:val="26"/>
                <w:szCs w:val="26"/>
              </w:rPr>
              <w:t>Block-</w:t>
            </w:r>
            <w:r>
              <w:rPr>
                <w:rFonts w:cstheme="minorHAnsi"/>
                <w:sz w:val="26"/>
                <w:szCs w:val="26"/>
              </w:rPr>
              <w:t>B</w:t>
            </w:r>
            <w:r w:rsidR="00D70FF1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>Plot</w:t>
            </w:r>
            <w:r w:rsidR="00D70FF1">
              <w:rPr>
                <w:rFonts w:cstheme="minorHAnsi"/>
                <w:sz w:val="26"/>
                <w:szCs w:val="26"/>
              </w:rPr>
              <w:t xml:space="preserve"> # </w:t>
            </w:r>
            <w:r>
              <w:rPr>
                <w:rFonts w:cstheme="minorHAnsi"/>
                <w:sz w:val="26"/>
                <w:szCs w:val="26"/>
              </w:rPr>
              <w:t>183 (6</w:t>
            </w:r>
            <w:r w:rsidRPr="00CF41C3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Floor)</w:t>
            </w:r>
            <w:r w:rsidR="00D70FF1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 xml:space="preserve">Ahmed Akbar Sobhan Road, Bashundhara R/A, </w:t>
            </w:r>
            <w:r w:rsidR="00385BAF">
              <w:rPr>
                <w:rFonts w:cstheme="minorHAnsi"/>
                <w:sz w:val="26"/>
                <w:szCs w:val="26"/>
              </w:rPr>
              <w:t>Baridhara, Dhaka</w:t>
            </w:r>
            <w:r w:rsidR="00D70FF1">
              <w:rPr>
                <w:rFonts w:cstheme="minorHAnsi"/>
                <w:sz w:val="26"/>
                <w:szCs w:val="26"/>
              </w:rPr>
              <w:t>-</w:t>
            </w:r>
            <w:proofErr w:type="gramStart"/>
            <w:r w:rsidR="00D70FF1">
              <w:rPr>
                <w:rFonts w:cstheme="minorHAnsi"/>
                <w:sz w:val="26"/>
                <w:szCs w:val="26"/>
              </w:rPr>
              <w:t>12</w:t>
            </w:r>
            <w:r>
              <w:rPr>
                <w:rFonts w:cstheme="minorHAnsi"/>
                <w:sz w:val="26"/>
                <w:szCs w:val="26"/>
              </w:rPr>
              <w:t>29</w:t>
            </w:r>
            <w:r w:rsidR="006C07B8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 xml:space="preserve"> Factory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&amp; Registered Office: 729 College Road, Barisal </w:t>
            </w:r>
            <w:proofErr w:type="spellStart"/>
            <w:r>
              <w:rPr>
                <w:rFonts w:cstheme="minorHAnsi"/>
                <w:sz w:val="26"/>
                <w:szCs w:val="26"/>
              </w:rPr>
              <w:t>Sadar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, Barisal-8200; </w:t>
            </w:r>
            <w:r w:rsidR="006C07B8">
              <w:rPr>
                <w:rFonts w:cstheme="minorHAnsi"/>
                <w:sz w:val="26"/>
                <w:szCs w:val="26"/>
              </w:rPr>
              <w:t>Tel: +88-0</w:t>
            </w:r>
            <w:r>
              <w:rPr>
                <w:rFonts w:cstheme="minorHAnsi"/>
                <w:sz w:val="26"/>
                <w:szCs w:val="26"/>
              </w:rPr>
              <w:t>4</w:t>
            </w:r>
            <w:r w:rsidR="006C07B8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>3161028</w:t>
            </w:r>
            <w:r w:rsidR="006C07B8">
              <w:rPr>
                <w:rFonts w:cstheme="minorHAnsi"/>
                <w:sz w:val="26"/>
                <w:szCs w:val="26"/>
              </w:rPr>
              <w:t>,Fax:+</w:t>
            </w:r>
            <w:r w:rsidR="00C0350C">
              <w:rPr>
                <w:rFonts w:cstheme="minorHAnsi"/>
                <w:sz w:val="26"/>
                <w:szCs w:val="26"/>
              </w:rPr>
              <w:t>88</w:t>
            </w:r>
            <w:r w:rsidR="006C07B8">
              <w:rPr>
                <w:rFonts w:cstheme="minorHAnsi"/>
                <w:sz w:val="26"/>
                <w:szCs w:val="26"/>
              </w:rPr>
              <w:t>-02-</w:t>
            </w:r>
            <w:r>
              <w:rPr>
                <w:rFonts w:cstheme="minorHAnsi"/>
                <w:sz w:val="26"/>
                <w:szCs w:val="26"/>
              </w:rPr>
              <w:t>3</w:t>
            </w:r>
            <w:r w:rsidR="00D70FF1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2174977</w:t>
            </w:r>
            <w:r w:rsidR="00C0350C">
              <w:rPr>
                <w:rFonts w:cstheme="minorHAnsi"/>
                <w:sz w:val="26"/>
                <w:szCs w:val="26"/>
              </w:rPr>
              <w:t>, email:</w:t>
            </w:r>
            <w:r>
              <w:rPr>
                <w:rFonts w:cstheme="minorHAnsi"/>
                <w:sz w:val="26"/>
                <w:szCs w:val="26"/>
              </w:rPr>
              <w:t>info@indo-</w:t>
            </w:r>
            <w:r w:rsidR="00385BAF">
              <w:rPr>
                <w:rFonts w:cstheme="minorHAnsi"/>
                <w:sz w:val="26"/>
                <w:szCs w:val="26"/>
              </w:rPr>
              <w:t>b</w:t>
            </w:r>
            <w:r>
              <w:rPr>
                <w:rFonts w:cstheme="minorHAnsi"/>
                <w:sz w:val="26"/>
                <w:szCs w:val="26"/>
              </w:rPr>
              <w:t>anglapharma.com;</w:t>
            </w:r>
          </w:p>
          <w:p w14:paraId="3405AF6F" w14:textId="6B73965C" w:rsidR="006C07B8" w:rsidRPr="00666F6C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web: www.indo-banglapharma.com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567" w:type="dxa"/>
          </w:tcPr>
          <w:p w14:paraId="3593E0CC" w14:textId="1791C1E2" w:rsidR="00D06126" w:rsidRPr="00192E28" w:rsidRDefault="00D70FF1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Manufactur</w:t>
            </w:r>
            <w:r w:rsidR="00EE5BDC" w:rsidRPr="00192E28">
              <w:rPr>
                <w:rFonts w:cstheme="minorHAnsi"/>
                <w:sz w:val="26"/>
                <w:szCs w:val="26"/>
              </w:rPr>
              <w:t>ing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 </w:t>
            </w:r>
            <w:r w:rsidR="00EE5BDC" w:rsidRPr="00192E28">
              <w:rPr>
                <w:rFonts w:cstheme="minorHAnsi"/>
                <w:sz w:val="26"/>
                <w:szCs w:val="26"/>
              </w:rPr>
              <w:t>and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 selling of all kinds of medicine (excluding Antibiotic), medical preparations drugs &amp; chemicals (Human Health).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567" w:type="dxa"/>
          </w:tcPr>
          <w:p w14:paraId="38326E29" w14:textId="0F2F0FEB" w:rsidR="00612B4B" w:rsidRPr="00192E28" w:rsidRDefault="00192E28" w:rsidP="006D406A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Medicine for Human Health (Excluding Antibiotic)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06126" w:rsidRPr="00666F6C" w14:paraId="291E5762" w14:textId="77777777" w:rsidTr="00385BAF">
        <w:trPr>
          <w:trHeight w:val="326"/>
        </w:trPr>
        <w:tc>
          <w:tcPr>
            <w:tcW w:w="4225" w:type="dxa"/>
          </w:tcPr>
          <w:p w14:paraId="2CC0226E" w14:textId="77777777" w:rsidR="00D06126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5567" w:type="dxa"/>
          </w:tcPr>
          <w:p w14:paraId="61F5ADED" w14:textId="72E26EA2" w:rsidR="00D06126" w:rsidRPr="00192E28" w:rsidRDefault="00EE5BDC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 xml:space="preserve">Local Market  </w:t>
            </w:r>
          </w:p>
        </w:tc>
      </w:tr>
      <w:tr w:rsidR="00295F0A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295F0A" w:rsidRPr="00CB0F62" w:rsidRDefault="00295F0A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6FA99E85" w:rsidR="00295F0A" w:rsidRPr="00CB0F62" w:rsidRDefault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February 19</w:t>
            </w:r>
            <w:r w:rsidR="00A639D1" w:rsidRPr="00CB0F62">
              <w:rPr>
                <w:rFonts w:cstheme="minorHAnsi"/>
                <w:sz w:val="26"/>
                <w:szCs w:val="26"/>
              </w:rPr>
              <w:t xml:space="preserve">, </w:t>
            </w:r>
            <w:r w:rsidR="00E853E7" w:rsidRPr="00CB0F62">
              <w:rPr>
                <w:rFonts w:cstheme="minorHAnsi"/>
                <w:sz w:val="26"/>
                <w:szCs w:val="26"/>
              </w:rPr>
              <w:t>201</w:t>
            </w:r>
            <w:r w:rsidR="00A639D1" w:rsidRPr="00CB0F62">
              <w:rPr>
                <w:rFonts w:cstheme="minorHAnsi"/>
                <w:sz w:val="26"/>
                <w:szCs w:val="26"/>
              </w:rPr>
              <w:t>8</w:t>
            </w:r>
          </w:p>
        </w:tc>
      </w:tr>
      <w:tr w:rsidR="00612B4B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5567" w:type="dxa"/>
          </w:tcPr>
          <w:p w14:paraId="26F67FD3" w14:textId="0E6FD4A5" w:rsidR="00612B4B" w:rsidRPr="00192E28" w:rsidRDefault="00192E28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March 13, 2018</w:t>
            </w:r>
            <w:r w:rsidR="00612B4B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612B4B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3E24DED7" w:rsidR="00612B4B" w:rsidRPr="00192E28" w:rsidRDefault="0079008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August 09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, </w:t>
            </w:r>
            <w:r w:rsidR="00A639D1" w:rsidRPr="00192E28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612B4B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1DCE4E3F" w:rsidR="00612B4B" w:rsidRPr="00192E28" w:rsidRDefault="0079008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August 16</w:t>
            </w:r>
            <w:bookmarkStart w:id="0" w:name="_GoBack"/>
            <w:bookmarkEnd w:id="0"/>
            <w:r w:rsidR="00192E28" w:rsidRPr="00192E28">
              <w:rPr>
                <w:rFonts w:cstheme="minorHAnsi"/>
                <w:sz w:val="26"/>
                <w:szCs w:val="26"/>
              </w:rPr>
              <w:t>, 2018</w:t>
            </w:r>
          </w:p>
        </w:tc>
      </w:tr>
      <w:tr w:rsidR="008672B2" w:rsidRPr="00666F6C" w14:paraId="450DAF4B" w14:textId="77777777" w:rsidTr="00385BAF">
        <w:trPr>
          <w:trHeight w:val="326"/>
        </w:trPr>
        <w:tc>
          <w:tcPr>
            <w:tcW w:w="4225" w:type="dxa"/>
          </w:tcPr>
          <w:p w14:paraId="2652E22E" w14:textId="63592C6C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54BBD600" w14:textId="3B0914D7" w:rsidR="008672B2" w:rsidRPr="00CB0F62" w:rsidRDefault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IBP</w:t>
            </w:r>
          </w:p>
        </w:tc>
      </w:tr>
      <w:tr w:rsidR="00D04BEB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5567" w:type="dxa"/>
          </w:tcPr>
          <w:p w14:paraId="0A6A1438" w14:textId="72BEAA62" w:rsidR="00D04BEB" w:rsidRPr="00CB0F62" w:rsidRDefault="00A639D1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20</w:t>
            </w:r>
            <w:r w:rsidR="00D04BEB"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Offer Price </w:t>
            </w:r>
          </w:p>
        </w:tc>
        <w:tc>
          <w:tcPr>
            <w:tcW w:w="5567" w:type="dxa"/>
          </w:tcPr>
          <w:p w14:paraId="3317BD92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 10 each (at par)</w:t>
            </w:r>
          </w:p>
        </w:tc>
      </w:tr>
      <w:tr w:rsidR="00D04BEB" w:rsidRPr="00666F6C" w14:paraId="0FDC08CE" w14:textId="77777777" w:rsidTr="00385BAF">
        <w:trPr>
          <w:trHeight w:val="326"/>
        </w:trPr>
        <w:tc>
          <w:tcPr>
            <w:tcW w:w="4225" w:type="dxa"/>
          </w:tcPr>
          <w:p w14:paraId="44CB497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567" w:type="dxa"/>
          </w:tcPr>
          <w:p w14:paraId="45CE2130" w14:textId="63CF80AD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A639D1" w:rsidRPr="00CB0F62">
              <w:rPr>
                <w:rFonts w:cstheme="minorHAnsi"/>
                <w:sz w:val="26"/>
                <w:szCs w:val="26"/>
              </w:rPr>
              <w:t>1</w:t>
            </w:r>
            <w:r w:rsidR="006D406A" w:rsidRPr="00CB0F62">
              <w:rPr>
                <w:rFonts w:cstheme="minorHAnsi"/>
                <w:sz w:val="26"/>
                <w:szCs w:val="26"/>
              </w:rPr>
              <w:t>,0</w:t>
            </w:r>
            <w:r w:rsidRPr="00CB0F62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D04BEB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29579EE8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192E28" w:rsidRPr="00CB0F62">
              <w:rPr>
                <w:rFonts w:cstheme="minorHAnsi"/>
                <w:sz w:val="26"/>
                <w:szCs w:val="26"/>
              </w:rPr>
              <w:t>730</w:t>
            </w:r>
            <w:r w:rsidRPr="00CB0F62">
              <w:rPr>
                <w:rFonts w:cstheme="minorHAnsi"/>
                <w:sz w:val="26"/>
                <w:szCs w:val="26"/>
              </w:rPr>
              <w:t>.</w:t>
            </w:r>
            <w:r w:rsidR="00A639D1" w:rsidRPr="00CB0F62">
              <w:rPr>
                <w:rFonts w:cstheme="minorHAnsi"/>
                <w:sz w:val="26"/>
                <w:szCs w:val="26"/>
              </w:rPr>
              <w:t>0</w:t>
            </w:r>
            <w:r w:rsidR="00E853E7" w:rsidRPr="00CB0F62">
              <w:rPr>
                <w:rFonts w:cstheme="minorHAnsi"/>
                <w:sz w:val="26"/>
                <w:szCs w:val="26"/>
              </w:rPr>
              <w:t>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567" w:type="dxa"/>
          </w:tcPr>
          <w:p w14:paraId="44319715" w14:textId="1EDE408A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A639D1" w:rsidRPr="00CB0F62">
              <w:rPr>
                <w:rFonts w:cstheme="minorHAnsi"/>
                <w:sz w:val="26"/>
                <w:szCs w:val="26"/>
              </w:rPr>
              <w:t>20</w:t>
            </w:r>
            <w:r w:rsidRPr="00CB0F62">
              <w:rPr>
                <w:rFonts w:cstheme="minorHAnsi"/>
                <w:sz w:val="26"/>
                <w:szCs w:val="26"/>
              </w:rPr>
              <w:t>0</w:t>
            </w:r>
            <w:r w:rsidR="00A639D1" w:rsidRPr="00CB0F62">
              <w:rPr>
                <w:rFonts w:cstheme="minorHAnsi"/>
                <w:sz w:val="26"/>
                <w:szCs w:val="26"/>
              </w:rPr>
              <w:t>.00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6BC81EAB" w14:textId="77777777" w:rsidTr="00385BAF">
        <w:trPr>
          <w:trHeight w:val="326"/>
        </w:trPr>
        <w:tc>
          <w:tcPr>
            <w:tcW w:w="4225" w:type="dxa"/>
          </w:tcPr>
          <w:p w14:paraId="1D787EB2" w14:textId="77777777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5567" w:type="dxa"/>
          </w:tcPr>
          <w:p w14:paraId="32A129AA" w14:textId="4F5EA940" w:rsidR="00D04BEB" w:rsidRPr="00CB0F62" w:rsidRDefault="00D04BEB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930</w:t>
            </w:r>
            <w:r w:rsidR="00A639D1" w:rsidRPr="00CB0F62">
              <w:rPr>
                <w:rFonts w:cstheme="minorHAnsi"/>
                <w:sz w:val="26"/>
                <w:szCs w:val="26"/>
              </w:rPr>
              <w:t>.00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</w:t>
            </w:r>
            <w:r w:rsidR="007F6E17" w:rsidRPr="00CB0F62">
              <w:rPr>
                <w:rFonts w:cstheme="minorHAnsi"/>
                <w:sz w:val="26"/>
                <w:szCs w:val="26"/>
              </w:rPr>
              <w:t xml:space="preserve">. </w:t>
            </w:r>
            <w:r w:rsidR="00951997" w:rsidRPr="00CB0F62">
              <w:rPr>
                <w:rFonts w:cstheme="minorHAnsi"/>
                <w:sz w:val="26"/>
                <w:szCs w:val="26"/>
              </w:rPr>
              <w:t>size for IPO subscription</w:t>
            </w:r>
            <w:r w:rsidR="00C542EA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F6E17" w:rsidRPr="00CB0F62">
              <w:rPr>
                <w:rFonts w:cstheme="minorHAnsi"/>
                <w:sz w:val="26"/>
                <w:szCs w:val="26"/>
              </w:rPr>
              <w:t>(per lot)</w:t>
            </w:r>
          </w:p>
        </w:tc>
        <w:tc>
          <w:tcPr>
            <w:tcW w:w="5567" w:type="dxa"/>
          </w:tcPr>
          <w:p w14:paraId="73CDD3D5" w14:textId="77777777" w:rsidR="00D04BEB" w:rsidRPr="00CB0F62" w:rsidRDefault="00951997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500</w:t>
            </w:r>
          </w:p>
        </w:tc>
      </w:tr>
      <w:tr w:rsidR="00CD2521" w:rsidRPr="00CD2521" w14:paraId="4B60E3FD" w14:textId="77777777" w:rsidTr="00284F4D">
        <w:trPr>
          <w:trHeight w:val="485"/>
        </w:trPr>
        <w:tc>
          <w:tcPr>
            <w:tcW w:w="4225" w:type="dxa"/>
          </w:tcPr>
          <w:p w14:paraId="6FCFDCE1" w14:textId="77777777" w:rsidR="00D04BEB" w:rsidRPr="00385BAF" w:rsidRDefault="00C542EA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3FCC8B25" w14:textId="64FDC277" w:rsidR="00CB0F62" w:rsidRPr="00CB0F62" w:rsidRDefault="00CB0F62" w:rsidP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USD 60.43 or GBP 43.60 or EUR 49.26</w:t>
            </w:r>
          </w:p>
          <w:p w14:paraId="145992C9" w14:textId="75714D90" w:rsidR="00D04BEB" w:rsidRPr="00385BAF" w:rsidRDefault="00D04BEB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CD2521" w:rsidRPr="00CD2521" w14:paraId="0BD9DCAE" w14:textId="77777777" w:rsidTr="002D4E47">
        <w:trPr>
          <w:trHeight w:val="2087"/>
        </w:trPr>
        <w:tc>
          <w:tcPr>
            <w:tcW w:w="4225" w:type="dxa"/>
          </w:tcPr>
          <w:p w14:paraId="5F1738E0" w14:textId="77777777" w:rsidR="00D04BEB" w:rsidRPr="00C06DA2" w:rsidRDefault="00295F0A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382"/>
              <w:gridCol w:w="2469"/>
            </w:tblGrid>
            <w:tr w:rsidR="00C06DA2" w:rsidRPr="00C06DA2" w14:paraId="71538C47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18EDCCA8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469" w:type="dxa"/>
                </w:tcPr>
                <w:p w14:paraId="75D1165B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C06DA2" w:rsidRPr="00C06DA2" w14:paraId="43D64AE5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D397D4D" w14:textId="3F2AF620" w:rsidR="00E853E7" w:rsidRPr="00C06DA2" w:rsidRDefault="00042ACF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Machineries</w:t>
                  </w:r>
                </w:p>
              </w:tc>
              <w:tc>
                <w:tcPr>
                  <w:tcW w:w="2469" w:type="dxa"/>
                </w:tcPr>
                <w:p w14:paraId="1188B00B" w14:textId="1D2C31AB" w:rsidR="00E853E7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124.72mn 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62.36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0C2826D2" w14:textId="77777777" w:rsidTr="00042ACF">
              <w:trPr>
                <w:trHeight w:val="639"/>
              </w:trPr>
              <w:tc>
                <w:tcPr>
                  <w:tcW w:w="2382" w:type="dxa"/>
                </w:tcPr>
                <w:p w14:paraId="0F04162D" w14:textId="401D5ADB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Construction</w:t>
                  </w:r>
                  <w:r w:rsidR="00042ACF" w:rsidRPr="00C06DA2">
                    <w:rPr>
                      <w:rFonts w:cstheme="minorHAnsi"/>
                      <w:sz w:val="26"/>
                      <w:szCs w:val="26"/>
                    </w:rPr>
                    <w:t xml:space="preserve"> &amp; Other Civil Works</w:t>
                  </w:r>
                </w:p>
              </w:tc>
              <w:tc>
                <w:tcPr>
                  <w:tcW w:w="2469" w:type="dxa"/>
                </w:tcPr>
                <w:p w14:paraId="2AD36DCD" w14:textId="492893ED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58.58mn 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29.29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69EF89FE" w14:textId="77777777" w:rsidTr="00042ACF">
              <w:trPr>
                <w:trHeight w:val="313"/>
              </w:trPr>
              <w:tc>
                <w:tcPr>
                  <w:tcW w:w="2382" w:type="dxa"/>
                </w:tcPr>
                <w:p w14:paraId="3ADD40BE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469" w:type="dxa"/>
                </w:tcPr>
                <w:p w14:paraId="55098992" w14:textId="30C4B93F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16.70mn 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8</w:t>
                  </w:r>
                  <w:r w:rsidR="00D81D4B" w:rsidRPr="00C06DA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35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3373CE5F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58DBAF4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469" w:type="dxa"/>
                </w:tcPr>
                <w:p w14:paraId="4949E8C6" w14:textId="50F11044" w:rsidR="00295F0A" w:rsidRPr="00C06DA2" w:rsidRDefault="00042ACF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20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mn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C06DA2" w:rsidRDefault="00D04BEB" w:rsidP="008578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D2521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NAV Per Share</w:t>
            </w:r>
          </w:p>
        </w:tc>
        <w:tc>
          <w:tcPr>
            <w:tcW w:w="5567" w:type="dxa"/>
          </w:tcPr>
          <w:p w14:paraId="01D32A5B" w14:textId="76BD2E15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Tk. 1</w:t>
            </w:r>
            <w:r w:rsidR="00CB0F62" w:rsidRPr="00C06DA2">
              <w:rPr>
                <w:rFonts w:cstheme="minorHAnsi"/>
                <w:sz w:val="26"/>
                <w:szCs w:val="26"/>
              </w:rPr>
              <w:t>2.84</w:t>
            </w:r>
            <w:r w:rsidRPr="00C06DA2">
              <w:rPr>
                <w:rFonts w:cstheme="minorHAnsi"/>
                <w:sz w:val="26"/>
                <w:szCs w:val="26"/>
              </w:rPr>
              <w:t xml:space="preserve"> as on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June 30, 2017 </w:t>
            </w:r>
          </w:p>
        </w:tc>
      </w:tr>
      <w:tr w:rsidR="00CD2521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Earning Per Share (EPS)</w:t>
            </w:r>
          </w:p>
        </w:tc>
        <w:tc>
          <w:tcPr>
            <w:tcW w:w="5567" w:type="dxa"/>
          </w:tcPr>
          <w:p w14:paraId="1D8E2F53" w14:textId="600EA6BF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741B7F" w:rsidRPr="00C06DA2">
              <w:rPr>
                <w:rFonts w:cstheme="minorHAnsi"/>
                <w:sz w:val="26"/>
                <w:szCs w:val="26"/>
              </w:rPr>
              <w:t>1.</w:t>
            </w:r>
            <w:r w:rsidR="00CB0F62" w:rsidRPr="00C06DA2">
              <w:rPr>
                <w:rFonts w:cstheme="minorHAnsi"/>
                <w:sz w:val="26"/>
                <w:szCs w:val="26"/>
              </w:rPr>
              <w:t>21</w:t>
            </w:r>
            <w:r w:rsidRPr="00C06DA2">
              <w:rPr>
                <w:rFonts w:cstheme="minorHAnsi"/>
                <w:sz w:val="26"/>
                <w:szCs w:val="26"/>
              </w:rPr>
              <w:t xml:space="preserve"> (</w:t>
            </w:r>
            <w:r w:rsidR="003154CB">
              <w:rPr>
                <w:rFonts w:cstheme="minorHAnsi"/>
                <w:sz w:val="26"/>
                <w:szCs w:val="26"/>
              </w:rPr>
              <w:t xml:space="preserve">for the period ended June </w:t>
            </w:r>
            <w:r w:rsidRPr="00C06DA2">
              <w:rPr>
                <w:rFonts w:cstheme="minorHAnsi"/>
                <w:b/>
                <w:sz w:val="20"/>
                <w:szCs w:val="20"/>
              </w:rPr>
              <w:t>30, 201</w:t>
            </w:r>
            <w:r w:rsidR="00741B7F" w:rsidRPr="00C06DA2">
              <w:rPr>
                <w:rFonts w:cstheme="minorHAnsi"/>
                <w:b/>
                <w:sz w:val="20"/>
                <w:szCs w:val="20"/>
              </w:rPr>
              <w:t>7</w:t>
            </w:r>
            <w:r w:rsidRPr="00C0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D2521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77777777" w:rsidR="00666F6C" w:rsidRPr="00C06DA2" w:rsidRDefault="00666F6C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5567" w:type="dxa"/>
          </w:tcPr>
          <w:p w14:paraId="5C9B5302" w14:textId="22FF2160" w:rsidR="00666F6C" w:rsidRPr="00C06DA2" w:rsidRDefault="00565B10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Nil from the year 201</w:t>
            </w:r>
            <w:r w:rsidR="00C06DA2" w:rsidRPr="00C06DA2">
              <w:rPr>
                <w:rFonts w:cstheme="minorHAnsi"/>
                <w:sz w:val="26"/>
                <w:szCs w:val="26"/>
              </w:rPr>
              <w:t>4</w:t>
            </w:r>
          </w:p>
        </w:tc>
      </w:tr>
      <w:tr w:rsidR="00CD2521" w:rsidRPr="00CD2521" w14:paraId="30DB5EF4" w14:textId="77777777" w:rsidTr="00C06DA2">
        <w:trPr>
          <w:trHeight w:val="350"/>
        </w:trPr>
        <w:tc>
          <w:tcPr>
            <w:tcW w:w="4225" w:type="dxa"/>
          </w:tcPr>
          <w:p w14:paraId="3315F659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567" w:type="dxa"/>
          </w:tcPr>
          <w:p w14:paraId="6C987C09" w14:textId="06FF0DD8" w:rsidR="00F80785" w:rsidRPr="00C06DA2" w:rsidRDefault="00C06DA2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AFC</w:t>
            </w:r>
            <w:r w:rsidR="00565B10" w:rsidRPr="00C06DA2">
              <w:rPr>
                <w:rFonts w:cstheme="minorHAnsi"/>
                <w:sz w:val="26"/>
                <w:szCs w:val="26"/>
              </w:rPr>
              <w:t xml:space="preserve"> Capital Limited &amp; </w:t>
            </w:r>
            <w:r w:rsidRPr="00C06DA2">
              <w:rPr>
                <w:rFonts w:cstheme="minorHAnsi"/>
                <w:sz w:val="26"/>
                <w:szCs w:val="26"/>
              </w:rPr>
              <w:t>EBL Investment</w:t>
            </w:r>
            <w:r w:rsidR="00AA335E" w:rsidRPr="00C06DA2">
              <w:rPr>
                <w:rFonts w:cstheme="minorHAnsi"/>
                <w:sz w:val="26"/>
                <w:szCs w:val="26"/>
              </w:rPr>
              <w:t xml:space="preserve"> Limited</w:t>
            </w:r>
          </w:p>
        </w:tc>
      </w:tr>
      <w:tr w:rsidR="00CD2521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F80785" w:rsidRPr="002F167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77777777" w:rsidR="00F80785" w:rsidRPr="002F1672" w:rsidRDefault="00AA335E" w:rsidP="008578E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2F1672">
              <w:rPr>
                <w:rFonts w:cstheme="minorHAnsi"/>
                <w:sz w:val="26"/>
                <w:szCs w:val="26"/>
              </w:rPr>
              <w:t>Mahfel</w:t>
            </w:r>
            <w:proofErr w:type="spellEnd"/>
            <w:r w:rsidRPr="002F1672">
              <w:rPr>
                <w:rFonts w:cstheme="minorHAnsi"/>
                <w:sz w:val="26"/>
                <w:szCs w:val="26"/>
              </w:rPr>
              <w:t xml:space="preserve"> Huq</w:t>
            </w:r>
            <w:r w:rsidR="00F80785" w:rsidRPr="002F1672">
              <w:rPr>
                <w:rFonts w:cstheme="minorHAnsi"/>
                <w:sz w:val="26"/>
                <w:szCs w:val="26"/>
              </w:rPr>
              <w:t xml:space="preserve"> &amp; </w:t>
            </w:r>
            <w:r w:rsidRPr="002F1672">
              <w:rPr>
                <w:rFonts w:cstheme="minorHAnsi"/>
                <w:sz w:val="26"/>
                <w:szCs w:val="26"/>
              </w:rPr>
              <w:t>Co.</w:t>
            </w:r>
          </w:p>
        </w:tc>
      </w:tr>
    </w:tbl>
    <w:p w14:paraId="38ADC1C3" w14:textId="77777777" w:rsidR="00A872DD" w:rsidRPr="00CD2521" w:rsidRDefault="00B3411C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48C6" w14:textId="77777777" w:rsidR="00B3411C" w:rsidRDefault="00B3411C" w:rsidP="00D06126">
      <w:pPr>
        <w:spacing w:after="0" w:line="240" w:lineRule="auto"/>
      </w:pPr>
      <w:r>
        <w:separator/>
      </w:r>
    </w:p>
  </w:endnote>
  <w:endnote w:type="continuationSeparator" w:id="0">
    <w:p w14:paraId="2BDADC83" w14:textId="77777777" w:rsidR="00B3411C" w:rsidRDefault="00B3411C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C63C" w14:textId="77777777" w:rsidR="00B3411C" w:rsidRDefault="00B3411C" w:rsidP="00D06126">
      <w:pPr>
        <w:spacing w:after="0" w:line="240" w:lineRule="auto"/>
      </w:pPr>
      <w:r>
        <w:separator/>
      </w:r>
    </w:p>
  </w:footnote>
  <w:footnote w:type="continuationSeparator" w:id="0">
    <w:p w14:paraId="4F0D9195" w14:textId="77777777" w:rsidR="00B3411C" w:rsidRDefault="00B3411C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0FE394DE" w:rsidR="00D06126" w:rsidRPr="0023480B" w:rsidRDefault="00CF41C3" w:rsidP="00D06126">
    <w:pPr>
      <w:pStyle w:val="Header"/>
      <w:jc w:val="center"/>
      <w:rPr>
        <w:b/>
      </w:rPr>
    </w:pPr>
    <w:r>
      <w:rPr>
        <w:b/>
      </w:rPr>
      <w:t>Indo-Bangla Pharmaceuticals</w:t>
    </w:r>
    <w:r w:rsidR="00C0350C">
      <w:rPr>
        <w:b/>
      </w:rPr>
      <w:t xml:space="preserve"> Ltd.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19000D"/>
    <w:rsid w:val="00192E28"/>
    <w:rsid w:val="0019701D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5BAF"/>
    <w:rsid w:val="003906B8"/>
    <w:rsid w:val="00405BDB"/>
    <w:rsid w:val="004372F7"/>
    <w:rsid w:val="00540989"/>
    <w:rsid w:val="00565B10"/>
    <w:rsid w:val="005B0C6C"/>
    <w:rsid w:val="005B5622"/>
    <w:rsid w:val="00612B4B"/>
    <w:rsid w:val="006249A8"/>
    <w:rsid w:val="00666F6C"/>
    <w:rsid w:val="006B59B1"/>
    <w:rsid w:val="006C07B8"/>
    <w:rsid w:val="006D406A"/>
    <w:rsid w:val="0070252C"/>
    <w:rsid w:val="00741B7F"/>
    <w:rsid w:val="0079008F"/>
    <w:rsid w:val="007F6E17"/>
    <w:rsid w:val="008578EF"/>
    <w:rsid w:val="008672B2"/>
    <w:rsid w:val="0089321A"/>
    <w:rsid w:val="00951997"/>
    <w:rsid w:val="00A639D1"/>
    <w:rsid w:val="00AA335E"/>
    <w:rsid w:val="00AB6BFE"/>
    <w:rsid w:val="00AF027B"/>
    <w:rsid w:val="00B3411C"/>
    <w:rsid w:val="00B36797"/>
    <w:rsid w:val="00C00A11"/>
    <w:rsid w:val="00C0350C"/>
    <w:rsid w:val="00C06DA2"/>
    <w:rsid w:val="00C542EA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E04BB4"/>
    <w:rsid w:val="00E66973"/>
    <w:rsid w:val="00E72115"/>
    <w:rsid w:val="00E853E7"/>
    <w:rsid w:val="00E9761E"/>
    <w:rsid w:val="00EB379E"/>
    <w:rsid w:val="00EC77BE"/>
    <w:rsid w:val="00EE5BDC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9</cp:revision>
  <cp:lastPrinted>2018-04-04T09:36:00Z</cp:lastPrinted>
  <dcterms:created xsi:type="dcterms:W3CDTF">2018-04-04T07:28:00Z</dcterms:created>
  <dcterms:modified xsi:type="dcterms:W3CDTF">2018-08-12T04:50:00Z</dcterms:modified>
</cp:coreProperties>
</file>